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center"/>
      </w:pPr>
      <w:r>
        <w:rPr>
          <w:rFonts w:cs="Times New Roman"/>
          <w:b/>
          <w:sz w:val="24"/>
          <w:szCs w:val="24"/>
        </w:rPr>
        <w:t>РЕЕСТР ДОГОВОРОВ, ЗАКЛЮЧЕННЫХ ОТ ИМЕНИ ЗАКАЗЧИКА, ПО РЕЗУЛЬТАТАМ ЗАКУПКИ У ЕДИНСТВЕННОГО ПОСТАВЩИКА (ИСПОЛНИТЕЛЯ) В ФЕВРАЛЕ 2018 г.</w:t>
      </w:r>
    </w:p>
    <w:p>
      <w:pPr>
        <w:pStyle w:val="style0"/>
        <w:spacing w:after="0" w:before="0" w:line="100" w:lineRule="atLeast"/>
        <w:jc w:val="center"/>
      </w:pPr>
      <w:r>
        <w:rPr>
          <w:rFonts w:cs="Times New Roman"/>
          <w:b/>
          <w:sz w:val="24"/>
          <w:szCs w:val="24"/>
        </w:rPr>
      </w:r>
    </w:p>
    <w:tbl>
      <w:tblPr>
        <w:jc w:val="left"/>
        <w:tblInd w:type="dxa" w:w="-108"/>
        <w:tblBorders/>
      </w:tblPr>
      <w:tblGrid>
        <w:gridCol w:w="2120"/>
        <w:gridCol w:w="1728"/>
        <w:gridCol w:w="2412"/>
        <w:gridCol w:w="1478"/>
        <w:gridCol w:w="3004"/>
        <w:gridCol w:w="2939"/>
        <w:gridCol w:w="1594"/>
      </w:tblGrid>
      <w:tr>
        <w:trPr>
          <w:cantSplit w:val="false"/>
        </w:trPr>
        <w:tc>
          <w:tcPr>
            <w:tcW w:type="dxa" w:w="2120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Наименование Заказчика</w:t>
            </w:r>
          </w:p>
        </w:tc>
        <w:tc>
          <w:tcPr>
            <w:tcW w:type="dxa" w:w="1728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Способ закупки</w:t>
            </w:r>
          </w:p>
        </w:tc>
        <w:tc>
          <w:tcPr>
            <w:tcW w:type="dxa" w:w="2412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rFonts w:cs="Times New Roman"/>
                <w:sz w:val="24"/>
                <w:szCs w:val="24"/>
              </w:rPr>
              <w:t>Дата проведения котировочной сессии, подведения итогов, а также реквизиты документа, подтверждающего основание заключения договора, подведения итогов котировочной сессии</w:t>
            </w:r>
          </w:p>
        </w:tc>
        <w:tc>
          <w:tcPr>
            <w:tcW w:type="dxa" w:w="1478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type="dxa" w:w="3004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Предмет, цена договора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 срок его исполнения</w:t>
            </w:r>
          </w:p>
        </w:tc>
        <w:tc>
          <w:tcPr>
            <w:tcW w:type="dxa" w:w="2939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Наименование, место нахождения поставщика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(подрядчика/исполнителя)</w:t>
            </w:r>
          </w:p>
        </w:tc>
        <w:tc>
          <w:tcPr>
            <w:tcW w:type="dxa" w:w="1594"/>
            <w:tcBorders/>
            <w:shd w:fill="D9D9D9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 xml:space="preserve">Сведения об исполнении 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(о прекращении действия) договора)</w:t>
            </w:r>
          </w:p>
        </w:tc>
      </w:tr>
      <w:tr>
        <w:trPr>
          <w:cantSplit w:val="false"/>
        </w:trPr>
        <w:tc>
          <w:tcPr>
            <w:tcW w:type="dxa" w:w="21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(АО «УКБП»)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432071,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г. Ульяновск,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ул. Крымова,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д. 10А</w:t>
            </w:r>
          </w:p>
        </w:tc>
        <w:tc>
          <w:tcPr>
            <w:tcW w:type="dxa" w:w="172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Закупка у единственного поставщика</w:t>
            </w:r>
          </w:p>
        </w:tc>
        <w:tc>
          <w:tcPr>
            <w:tcW w:type="dxa" w:w="24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Извещение о закупке у единственного поставщика (исполнителя) от 02 марта 2018 г.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Протокол заседания  комиссии по закупкам АО «УКБП»  рассмотрения проекта договора, заключаемого путем закупки у единственного поставщика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от 02 марта 2018 г.</w:t>
            </w:r>
          </w:p>
        </w:tc>
        <w:tc>
          <w:tcPr>
            <w:tcW w:type="dxa" w:w="147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Март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2018 г.</w:t>
            </w:r>
          </w:p>
        </w:tc>
        <w:tc>
          <w:tcPr>
            <w:tcW w:type="dxa" w:w="30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0" w:val="left"/>
              </w:tabs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Предмет договора – 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pacing w:val="-1"/>
                <w:sz w:val="24"/>
                <w:szCs w:val="24"/>
              </w:rPr>
              <w:t xml:space="preserve">оказание услуг по техническому обслуживанию приборов узлов коммерческого учета тепловой энергии, пара и ХВС АО «УКБП». </w:t>
            </w:r>
            <w:r>
              <w:rPr>
                <w:rFonts w:cs="Times New Roman"/>
                <w:sz w:val="24"/>
                <w:szCs w:val="24"/>
              </w:rPr>
              <w:t>Объем оказываемых услуг – ежемесячно в пределах срока действия договора и начальной максимальной цены. Объем оказываемых услуг – ежемесячно в пределах срока действия договора и начальной максимальной цены (1 услуга).</w:t>
            </w:r>
          </w:p>
          <w:p>
            <w:pPr>
              <w:pStyle w:val="style2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Цена договора – 396 990 (Триста девяносто шесть тысяч девятьсот девяносто) рублей 00 копеек (в том числе НДС 18%).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b w:val="false"/>
                <w:sz w:val="24"/>
                <w:szCs w:val="24"/>
              </w:rPr>
              <w:t>Срок исполнения договора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 w:val="false"/>
                <w:sz w:val="24"/>
                <w:szCs w:val="24"/>
              </w:rPr>
              <w:t>-  до полного исполнения всех обязательств.</w:t>
            </w:r>
          </w:p>
        </w:tc>
        <w:tc>
          <w:tcPr>
            <w:tcW w:type="dxa" w:w="293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Общество с ограниченной ответственностью «ЭНЕРГОРЕМОНТ»</w:t>
            </w:r>
          </w:p>
          <w:p>
            <w:pPr>
              <w:pStyle w:val="style0"/>
            </w:pPr>
            <w:r>
              <w:rPr>
                <w:rFonts w:cs="Times New Roman" w:eastAsia="Times New Roman"/>
                <w:color w:val="000000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 xml:space="preserve">ОГРН - 1027301576653  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ИНН - 7328043618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432072, г. Ульяновск, пр-т Авиастроителей, д. 33, кв. 193</w:t>
            </w:r>
          </w:p>
        </w:tc>
        <w:tc>
          <w:tcPr>
            <w:tcW w:type="dxa" w:w="15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  <w:tr>
        <w:trPr>
          <w:cantSplit w:val="false"/>
        </w:trPr>
        <w:tc>
          <w:tcPr>
            <w:tcW w:type="dxa" w:w="212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Акционерное общество «Ульяновское конструкторское бюро приборостроения»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8" w:val="left"/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(АО «УКБП»)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8" w:val="left"/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432071,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8" w:val="left"/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г. Ульяновск,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8" w:val="left"/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ул. Крымова,</w:t>
            </w:r>
          </w:p>
          <w:p>
            <w:pPr>
              <w:pStyle w:val="style0"/>
              <w:widowControl w:val="false"/>
              <w:shd w:fill="FFFFFF" w:val="clear"/>
              <w:tabs>
                <w:tab w:leader="none" w:pos="708" w:val="left"/>
                <w:tab w:leader="none" w:pos="709" w:val="left"/>
              </w:tabs>
              <w:jc w:val="center"/>
            </w:pPr>
            <w:r>
              <w:rPr>
                <w:rFonts w:cs="Times New Roman"/>
                <w:sz w:val="24"/>
                <w:szCs w:val="24"/>
              </w:rPr>
              <w:t>д. 10А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type="dxa" w:w="172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bCs/>
                <w:sz w:val="24"/>
                <w:szCs w:val="24"/>
              </w:rPr>
              <w:t>Закупка у единственного поставщика (исполнителя)</w:t>
            </w:r>
          </w:p>
        </w:tc>
        <w:tc>
          <w:tcPr>
            <w:tcW w:type="dxa" w:w="241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Извещение о закупке у единственного поставщика от 06 марта 2018 г.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Протокол заседания  комиссии по закупкам АО «УКБП»  рассмотрения проекта договора, заключаемого путем закупки у единственного поставщика 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от 06 марта 2018 г.</w:t>
            </w:r>
          </w:p>
        </w:tc>
        <w:tc>
          <w:tcPr>
            <w:tcW w:type="dxa" w:w="147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Март,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sz w:val="24"/>
                <w:szCs w:val="24"/>
              </w:rPr>
              <w:t>2018 г.</w:t>
            </w:r>
          </w:p>
        </w:tc>
        <w:tc>
          <w:tcPr>
            <w:tcW w:type="dxa" w:w="30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Предмет договора – поставка комплекта деталей для виброгенератора </w:t>
            </w:r>
            <w:r>
              <w:rPr>
                <w:rFonts w:cs="Times New Roman"/>
                <w:sz w:val="24"/>
                <w:szCs w:val="24"/>
                <w:lang w:val="en-US"/>
              </w:rPr>
              <w:t>S</w:t>
            </w:r>
            <w:r>
              <w:rPr>
                <w:rFonts w:cs="Times New Roman"/>
                <w:sz w:val="24"/>
                <w:szCs w:val="24"/>
              </w:rPr>
              <w:t>57315/</w:t>
            </w:r>
            <w:r>
              <w:rPr>
                <w:rFonts w:cs="Times New Roman"/>
                <w:sz w:val="24"/>
                <w:szCs w:val="24"/>
                <w:lang w:val="en-US"/>
              </w:rPr>
              <w:t>LS</w:t>
            </w:r>
            <w:r>
              <w:rPr>
                <w:rFonts w:cs="Times New Roman"/>
                <w:sz w:val="24"/>
                <w:szCs w:val="24"/>
              </w:rPr>
              <w:t>, производства фирмы TIRA GmbH (Германия) – 1 товар.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  <w:t>Цена договора – цена выражена в условных единицах, 1 условная единица эквивалентна 1 евро; всего составляет 22 960,00 условных единиц (Двадцать две тысячи девятьсот шестьдесят условных единиц). НДС 18% начисляется на сумму в рублях на день оплаты.</w:t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  <w:jc w:val="both"/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Срок исполнения договора – 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color w:val="000000"/>
                <w:sz w:val="24"/>
                <w:szCs w:val="24"/>
              </w:rPr>
              <w:t>овар поставляется в течение 20 (двадцати недель) недель со дня зачисления первого платежа согласно условиям договора.</w:t>
            </w:r>
          </w:p>
        </w:tc>
        <w:tc>
          <w:tcPr>
            <w:tcW w:type="dxa" w:w="2939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Общество с ограниченной ответственностью «Машприборинторг-Волна»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ОГРН – 1027739824683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ИНН - 7706001520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  <w:t>111123, г. Москва, ул. Плеханова, д. 4А</w:t>
            </w:r>
          </w:p>
          <w:p>
            <w:pPr>
              <w:pStyle w:val="style0"/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type="dxa" w:w="159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cs="Times New Roman"/>
                <w:b/>
                <w:sz w:val="24"/>
                <w:szCs w:val="24"/>
              </w:rPr>
              <w:t>-</w:t>
            </w:r>
          </w:p>
        </w:tc>
      </w:tr>
    </w:tbl>
    <w:p>
      <w:pPr>
        <w:pStyle w:val="style0"/>
        <w:jc w:val="both"/>
      </w:pPr>
      <w:bookmarkStart w:id="1" w:name="_GoBack"/>
      <w:bookmarkEnd w:id="1"/>
      <w:r>
        <w:rPr>
          <w:rFonts w:cs="Times New Roman"/>
          <w:sz w:val="24"/>
          <w:szCs w:val="24"/>
        </w:rPr>
        <w:tab/>
        <w:tab/>
      </w:r>
    </w:p>
    <w:sectPr>
      <w:type w:val="nextPage"/>
      <w:pgSz w:h="11906" w:orient="landscape" w:w="16838"/>
      <w:pgMar w:bottom="850" w:footer="0" w:gutter="0" w:header="0" w:left="1134" w:right="1134" w:top="709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b/>
      <w:color w:val="auto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Основной текст с отступом Знак"/>
    <w:next w:val="style16"/>
    <w:rPr>
      <w:sz w:val="28"/>
      <w:szCs w:val="28"/>
    </w:rPr>
  </w:style>
  <w:style w:styleId="style17" w:type="character">
    <w:name w:val="Основной текст с отступом Знак1"/>
    <w:basedOn w:val="style15"/>
    <w:next w:val="style17"/>
    <w:rPr/>
  </w:style>
  <w:style w:styleId="style18" w:type="character">
    <w:name w:val="Текст примечания Знак"/>
    <w:basedOn w:val="style15"/>
    <w:next w:val="style18"/>
    <w:rPr>
      <w:sz w:val="20"/>
      <w:szCs w:val="20"/>
    </w:rPr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character">
    <w:name w:val="Основной текст (2)_"/>
    <w:next w:val="style20"/>
    <w:rPr>
      <w:rFonts w:ascii="Courier New" w:cs="Courier New" w:eastAsia="Times New Roman" w:hAnsi="Courier New"/>
      <w:b/>
      <w:bCs/>
      <w:sz w:val="23"/>
      <w:szCs w:val="23"/>
      <w:shd w:fill="FFFFFF" w:val="clear"/>
    </w:rPr>
  </w:style>
  <w:style w:styleId="style21" w:type="paragraph">
    <w:name w:val="Заголовок"/>
    <w:basedOn w:val="style0"/>
    <w:next w:val="style22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2" w:type="paragraph">
    <w:name w:val="Основной текст"/>
    <w:basedOn w:val="style0"/>
    <w:next w:val="style22"/>
    <w:pPr>
      <w:spacing w:after="120" w:before="0"/>
    </w:pPr>
    <w:rPr/>
  </w:style>
  <w:style w:styleId="style23" w:type="paragraph">
    <w:name w:val="Список"/>
    <w:basedOn w:val="style22"/>
    <w:next w:val="style23"/>
    <w:pPr/>
    <w:rPr>
      <w:rFonts w:cs="Mangal"/>
    </w:rPr>
  </w:style>
  <w:style w:styleId="style24" w:type="paragraph">
    <w:name w:val="Название"/>
    <w:basedOn w:val="style0"/>
    <w:next w:val="style24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5" w:type="paragraph">
    <w:name w:val="Указатель"/>
    <w:basedOn w:val="style0"/>
    <w:next w:val="style25"/>
    <w:pPr>
      <w:suppressLineNumbers/>
    </w:pPr>
    <w:rPr>
      <w:rFonts w:cs="Mangal"/>
    </w:rPr>
  </w:style>
  <w:style w:styleId="style26" w:type="paragraph">
    <w:name w:val="No Spacing"/>
    <w:next w:val="style26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27" w:type="paragraph">
    <w:name w:val="ConsPlusNormal"/>
    <w:next w:val="style27"/>
    <w:pPr>
      <w:widowControl w:val="false"/>
      <w:tabs>
        <w:tab w:leader="none" w:pos="708" w:val="left"/>
      </w:tabs>
      <w:suppressAutoHyphens w:val="true"/>
      <w:spacing w:after="0" w:before="0" w:line="100" w:lineRule="atLeast"/>
      <w:ind w:firstLine="720" w:left="0" w:right="0"/>
    </w:pPr>
    <w:rPr>
      <w:rFonts w:ascii="Arial" w:cs="Arial" w:eastAsia="Calibri" w:hAnsi="Arial"/>
      <w:color w:val="auto"/>
      <w:sz w:val="20"/>
      <w:szCs w:val="20"/>
      <w:lang w:bidi="ar-SA" w:eastAsia="zh-CN" w:val="ru-RU"/>
    </w:rPr>
  </w:style>
  <w:style w:styleId="style28" w:type="paragraph">
    <w:name w:val="Основной текст с отступом"/>
    <w:basedOn w:val="style0"/>
    <w:next w:val="style28"/>
    <w:pPr>
      <w:spacing w:after="0" w:before="0" w:line="100" w:lineRule="atLeast"/>
      <w:ind w:hanging="0" w:left="4395" w:right="0"/>
    </w:pPr>
    <w:rPr>
      <w:sz w:val="28"/>
      <w:szCs w:val="28"/>
    </w:rPr>
  </w:style>
  <w:style w:styleId="style29" w:type="paragraph">
    <w:name w:val="4. Текст"/>
    <w:next w:val="style29"/>
    <w:pPr>
      <w:widowControl w:val="false"/>
      <w:tabs>
        <w:tab w:leader="none" w:pos="708" w:val="left"/>
      </w:tabs>
      <w:suppressAutoHyphens w:val="true"/>
      <w:spacing w:after="0" w:before="0" w:line="276" w:lineRule="auto"/>
      <w:ind w:firstLine="284" w:left="0" w:right="0"/>
      <w:jc w:val="both"/>
    </w:pPr>
    <w:rPr>
      <w:rFonts w:ascii="Times New Roman" w:cs="Times New Roman" w:eastAsia="Calibri" w:hAnsi="Times New Roman"/>
      <w:bCs/>
      <w:color w:val="auto"/>
      <w:sz w:val="24"/>
      <w:szCs w:val="24"/>
      <w:lang w:bidi="ar-SA" w:eastAsia="ru-RU" w:val="ru-RU"/>
    </w:rPr>
  </w:style>
  <w:style w:styleId="style30" w:type="paragraph">
    <w:name w:val="annotation text"/>
    <w:basedOn w:val="style0"/>
    <w:next w:val="style30"/>
    <w:pPr>
      <w:spacing w:line="100" w:lineRule="atLeast"/>
    </w:pPr>
    <w:rPr>
      <w:sz w:val="20"/>
      <w:szCs w:val="20"/>
    </w:rPr>
  </w:style>
  <w:style w:styleId="style31" w:type="paragraph">
    <w:name w:val="Balloon Text"/>
    <w:basedOn w:val="style0"/>
    <w:next w:val="style31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32" w:type="paragraph">
    <w:name w:val="western"/>
    <w:basedOn w:val="style0"/>
    <w:next w:val="style32"/>
    <w:pPr>
      <w:spacing w:after="119" w:before="28" w:line="100" w:lineRule="atLeast"/>
    </w:pPr>
    <w:rPr>
      <w:rFonts w:ascii="Times New Roman" w:cs="Times New Roman" w:eastAsia="Times New Roman" w:hAnsi="Times New Roman"/>
      <w:b/>
      <w:bCs/>
      <w:color w:val="000000"/>
      <w:sz w:val="20"/>
      <w:szCs w:val="20"/>
      <w:lang w:eastAsia="ru-RU"/>
    </w:rPr>
  </w:style>
  <w:style w:styleId="style33" w:type="paragraph">
    <w:name w:val="Основной текст (2)"/>
    <w:basedOn w:val="style0"/>
    <w:next w:val="style33"/>
    <w:pPr>
      <w:widowControl w:val="false"/>
      <w:shd w:fill="FFFFFF" w:val="clear"/>
      <w:spacing w:after="300" w:before="840" w:line="240" w:lineRule="atLeast"/>
      <w:jc w:val="center"/>
    </w:pPr>
    <w:rPr>
      <w:rFonts w:ascii="Courier New" w:cs="Courier New" w:eastAsia="Times New Roman" w:hAnsi="Courier New"/>
      <w:b/>
      <w:bCs/>
      <w:sz w:val="23"/>
      <w:szCs w:val="23"/>
    </w:rPr>
  </w:style>
  <w:style w:styleId="style34" w:type="paragraph">
    <w:name w:val="Normal (Web)"/>
    <w:basedOn w:val="style0"/>
    <w:next w:val="style34"/>
    <w:pPr>
      <w:spacing w:after="119" w:before="28" w:line="100" w:lineRule="atLeast"/>
    </w:pPr>
    <w:rPr>
      <w:rFonts w:ascii="Times New Roman" w:cs="Times New Roman" w:eastAsia="Times New Roman" w:hAnsi="Times New Roman"/>
      <w:color w:val="000000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2018-03-14T10:11:00.00Z</dcterms:created>
  <dc:creator>urist</dc:creator>
  <cp:lastModifiedBy>Романова Галина Михайловна</cp:lastModifiedBy>
  <dcterms:modified xsi:type="dcterms:W3CDTF">2018-03-14T10:20:00.00Z</dcterms:modified>
  <cp:revision>3</cp:revision>
</cp:coreProperties>
</file>