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FB" w:rsidRDefault="00FD1979">
      <w:pPr>
        <w:pStyle w:val="a3"/>
        <w:pageBreakBefore/>
        <w:widowControl w:val="0"/>
        <w:spacing w:after="0" w:line="100" w:lineRule="atLeast"/>
        <w:jc w:val="right"/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ПриложениеN2</w:t>
      </w:r>
    </w:p>
    <w:p w:rsidR="004675FB" w:rsidRDefault="00FD1979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к методическим указаниям по расчету уровня надежности</w:t>
      </w:r>
    </w:p>
    <w:p w:rsidR="004675FB" w:rsidRDefault="00FD1979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и качества поставляемых товаров и оказываемых услуг для организации</w:t>
      </w:r>
    </w:p>
    <w:p w:rsidR="004675FB" w:rsidRDefault="00FD1979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 xml:space="preserve">по управлению </w:t>
      </w:r>
      <w:proofErr w:type="gramStart"/>
      <w:r>
        <w:rPr>
          <w:rFonts w:cs="Calibri"/>
        </w:rPr>
        <w:t>единой</w:t>
      </w:r>
      <w:proofErr w:type="gramEnd"/>
      <w:r>
        <w:rPr>
          <w:rFonts w:cs="Calibri"/>
        </w:rPr>
        <w:t xml:space="preserve"> национальной (общероссийской) электрической</w:t>
      </w:r>
    </w:p>
    <w:p w:rsidR="004675FB" w:rsidRDefault="00FD1979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сетью и территориальных сетевых организаций</w:t>
      </w:r>
    </w:p>
    <w:p w:rsidR="004675FB" w:rsidRDefault="004675FB">
      <w:pPr>
        <w:pStyle w:val="a3"/>
        <w:widowControl w:val="0"/>
        <w:spacing w:after="0" w:line="100" w:lineRule="atLeast"/>
        <w:ind w:firstLine="540"/>
        <w:jc w:val="right"/>
      </w:pPr>
    </w:p>
    <w:p w:rsidR="004675FB" w:rsidRDefault="00FD1979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ФОРМЫ,</w:t>
      </w:r>
    </w:p>
    <w:p w:rsidR="004675FB" w:rsidRDefault="00FD1979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ИСПОЛЬЗУЕМЫЕ ДЛЯ РАСЧЕТА ЗНАЧЕНИЯ ПОКАЗАТЕЛЯ КАЧЕСТВА</w:t>
      </w:r>
    </w:p>
    <w:p w:rsidR="004675FB" w:rsidRDefault="00FD1979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 xml:space="preserve">ОБСЛУЖИВАНИЯ ПОТРЕБИТЕЛЕЙ УСЛУГ </w:t>
      </w:r>
      <w:proofErr w:type="gramStart"/>
      <w:r>
        <w:rPr>
          <w:rFonts w:cs="Calibri"/>
        </w:rPr>
        <w:t>ТЕРРИТОРИАЛЬНЫМИ</w:t>
      </w:r>
      <w:proofErr w:type="gramEnd"/>
    </w:p>
    <w:p w:rsidR="004675FB" w:rsidRDefault="00FD1979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СЕТЕВЫМИ ОРГАНИЗАЦИЯМИ</w:t>
      </w:r>
    </w:p>
    <w:p w:rsidR="004675FB" w:rsidRDefault="004675FB">
      <w:pPr>
        <w:pStyle w:val="a3"/>
        <w:widowControl w:val="0"/>
        <w:spacing w:after="0" w:line="100" w:lineRule="atLeast"/>
      </w:pPr>
      <w:bookmarkStart w:id="0" w:name="Par546"/>
      <w:bookmarkEnd w:id="0"/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FD1979">
      <w:pPr>
        <w:pStyle w:val="ConsPlusNonformat"/>
      </w:pPr>
      <w:bookmarkStart w:id="1" w:name="Par548"/>
      <w:bookmarkEnd w:id="1"/>
      <w:r>
        <w:rPr>
          <w:rFonts w:eastAsia="Courier New"/>
        </w:rPr>
        <w:t xml:space="preserve">          </w:t>
      </w:r>
      <w:r>
        <w:t>Форма 2.1 - Расчет значения индикатора информативности</w:t>
      </w:r>
    </w:p>
    <w:p w:rsidR="004675FB" w:rsidRDefault="004675FB">
      <w:pPr>
        <w:pStyle w:val="ConsPlusNonformat"/>
      </w:pPr>
    </w:p>
    <w:p w:rsidR="004675FB" w:rsidRDefault="00FD1979">
      <w:pPr>
        <w:pStyle w:val="ConsPlusNonformat"/>
      </w:pPr>
      <w:r>
        <w:t>_________________________</w:t>
      </w:r>
      <w:r>
        <w:rPr>
          <w:u w:val="single"/>
        </w:rPr>
        <w:t>АО «УКБП»_____________________________________________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3702"/>
        <w:gridCol w:w="1327"/>
        <w:gridCol w:w="1051"/>
        <w:gridCol w:w="1007"/>
        <w:gridCol w:w="1338"/>
        <w:gridCol w:w="1283"/>
      </w:tblGrid>
      <w:tr w:rsidR="004675FB">
        <w:tc>
          <w:tcPr>
            <w:tcW w:w="39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Параметр (критерий), характеризующий индикатор</w:t>
            </w:r>
          </w:p>
        </w:tc>
        <w:tc>
          <w:tcPr>
            <w:tcW w:w="2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  <w:tc>
          <w:tcPr>
            <w:tcW w:w="1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 xml:space="preserve">Ф /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 xml:space="preserve"> x 100, %</w:t>
            </w:r>
          </w:p>
        </w:tc>
        <w:tc>
          <w:tcPr>
            <w:tcW w:w="10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w="12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Оценочный балл</w:t>
            </w:r>
          </w:p>
        </w:tc>
      </w:tr>
      <w:tr w:rsidR="004675FB">
        <w:tc>
          <w:tcPr>
            <w:tcW w:w="39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ind w:firstLine="540"/>
              <w:jc w:val="both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uppressAutoHyphens w:val="0"/>
              <w:spacing w:after="0" w:line="100" w:lineRule="atLeast"/>
              <w:jc w:val="center"/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w="10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 Возможность личного приема заявителей и потребителей услуг уполномоченными должностными лицами территориальной сетевой организации - всего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1.1.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Количество утвержденных территориальной сетевой организацией в установленном порядке организационно-распорядительных документов по вопросам работы с заявителями и потребителями услуг - всего, шт.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а) регламенты оказания услуг и рассмотрения обращений заявителей и потребителей услуг, шт.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б) наличие положения о деятельности структурного подразделения по работе с заявителями и потребителями услуг (наличие - 1, отсутствие - 0), шт.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в) должностные инструкции сотрудников, обслуживающих заявителей и потребителей услуг, шт.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г) утвержденные территориальной сетевой организацией в установленном порядке формы отчетности о работе с заявителями и потребителями услуг, шт.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 Наличие телефонной связи для обращений потребителей услуг к уполномоченным должностным лицам территориальной сетевой организации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2.1. Наличие единого телефонного номера для приема обращений потребителей услуг (наличие - 1, отсутствие - 0)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2.2. Наличие информационно-справочной системы для автоматизации обработки обращений потребителей услуг, поступивших по телефону (наличие - 1, отсутствие - 0)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2.3. Наличие системы </w:t>
            </w:r>
            <w:proofErr w:type="spellStart"/>
            <w:r>
              <w:rPr>
                <w:rFonts w:cs="Calibri"/>
              </w:rPr>
              <w:t>автоинформирования</w:t>
            </w:r>
            <w:proofErr w:type="spellEnd"/>
            <w:r>
              <w:rPr>
                <w:rFonts w:cs="Calibri"/>
              </w:rPr>
              <w:t xml:space="preserve"> потребителей услуг по телефону, предназначенной для доведения до них типовой информации (наличие - 1, отсутствие - 0)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 (наличие - 1, отсутствие - 0)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 Проведение мероприятий по доведению до сведения потребителей услуг необходимой информации, в том числе путем ее размещения в сети Интернет, на бумажных носителях или иными доступными способами (проведение - 1, отсутствие - 0)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 Простота и доступность схемы обжалования потребителями услуг действий должностных лиц территориальной сетевой организации, по критерию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5.1. Общее количество обращений потребителей услуг о проведении консультаций по порядку обжалования действий (бездействия) территориальной сетевой </w:t>
            </w:r>
            <w:r>
              <w:rPr>
                <w:rFonts w:cs="Calibri"/>
              </w:rPr>
              <w:lastRenderedPageBreak/>
              <w:t>организации в ходе исполнения своих функций,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6. Степень полноты, актуальности и достоверности предоставляемой потребителям услуг информации о деятельности территориальной сетевой организации - всего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6.1. Общее количество обращений потребителей услуг о проведении консультаций по вопросам деятельности территориальной сетевой организации,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6.2. Количество обращений потребителей услуг с указанием на отсутствие необходимой информации, которая должна быть раскрыта территориальной сетевой организацией в соответствии с нормативными правовыми актами,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7. Итого по индикатору информативности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</w:tbl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Pr="00FD1979" w:rsidRDefault="00FD1979">
      <w:pPr>
        <w:pStyle w:val="ConsPlusNonformat"/>
      </w:pPr>
      <w:r>
        <w:rPr>
          <w:u w:val="single"/>
        </w:rPr>
        <w:t xml:space="preserve">         Главный энергетик </w:t>
      </w:r>
      <w:r>
        <w:t xml:space="preserve">                </w:t>
      </w:r>
      <w:r w:rsidRPr="00FD1979">
        <w:rPr>
          <w:u w:val="single"/>
        </w:rPr>
        <w:t>Борисов О.В.</w:t>
      </w:r>
    </w:p>
    <w:p w:rsidR="004675FB" w:rsidRDefault="00FD1979">
      <w:pPr>
        <w:pStyle w:val="ConsPlusNonformat"/>
        <w:tabs>
          <w:tab w:val="right" w:pos="9638"/>
        </w:tabs>
      </w:pPr>
      <w:r>
        <w:rPr>
          <w:rFonts w:eastAsia="Courier New"/>
        </w:rPr>
        <w:t xml:space="preserve">            </w:t>
      </w:r>
      <w:r>
        <w:t>Должность                        Ф.И.О.                Подпись</w:t>
      </w:r>
      <w:r>
        <w:tab/>
      </w:r>
    </w:p>
    <w:p w:rsidR="004675FB" w:rsidRDefault="004675FB">
      <w:pPr>
        <w:pStyle w:val="ConsPlusNonformat"/>
      </w:pPr>
    </w:p>
    <w:p w:rsidR="004675FB" w:rsidRDefault="004675FB">
      <w:pPr>
        <w:pStyle w:val="ConsPlusNonformat"/>
      </w:pP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4675FB">
      <w:pPr>
        <w:pStyle w:val="a3"/>
        <w:widowControl w:val="0"/>
        <w:spacing w:after="0" w:line="100" w:lineRule="atLeast"/>
        <w:jc w:val="right"/>
      </w:pPr>
      <w:bookmarkStart w:id="2" w:name="Par710"/>
      <w:bookmarkEnd w:id="2"/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 </w:t>
      </w:r>
      <w:r>
        <w:t>Форма 2.2 - Расчет значения индикатора исполнительности</w:t>
      </w:r>
    </w:p>
    <w:p w:rsidR="004675FB" w:rsidRDefault="004675FB">
      <w:pPr>
        <w:pStyle w:val="ConsPlusNonformat"/>
      </w:pPr>
    </w:p>
    <w:p w:rsidR="004675FB" w:rsidRDefault="00FD1979">
      <w:pPr>
        <w:pStyle w:val="ConsPlusNonformat"/>
      </w:pPr>
      <w:r>
        <w:t>__________</w:t>
      </w:r>
      <w:r>
        <w:rPr>
          <w:u w:val="single"/>
        </w:rPr>
        <w:t>__                     АО «УКБП»_</w:t>
      </w:r>
      <w:r>
        <w:t>___________________________________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3699"/>
        <w:gridCol w:w="1327"/>
        <w:gridCol w:w="1057"/>
        <w:gridCol w:w="1005"/>
        <w:gridCol w:w="1338"/>
        <w:gridCol w:w="1282"/>
      </w:tblGrid>
      <w:tr w:rsidR="004675FB">
        <w:tc>
          <w:tcPr>
            <w:tcW w:w="39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Параметр (показатель), характеризующий индикатор</w:t>
            </w:r>
          </w:p>
        </w:tc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  <w:tc>
          <w:tcPr>
            <w:tcW w:w="1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 xml:space="preserve">Ф /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 xml:space="preserve"> x 100, %</w:t>
            </w:r>
          </w:p>
        </w:tc>
        <w:tc>
          <w:tcPr>
            <w:tcW w:w="10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w="12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Оценочный балл</w:t>
            </w:r>
          </w:p>
        </w:tc>
      </w:tr>
      <w:tr w:rsidR="004675FB">
        <w:tc>
          <w:tcPr>
            <w:tcW w:w="3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ind w:firstLine="540"/>
              <w:jc w:val="both"/>
            </w:pP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w="10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bookmarkStart w:id="3" w:name="Par730"/>
            <w:bookmarkEnd w:id="3"/>
            <w:r>
              <w:rPr>
                <w:rFonts w:cs="Calibri"/>
              </w:rPr>
              <w:t>1. Соблюдение сроков по процедурам взаимодействия с потребителями услуг (заявителями) - всего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1.1. Среднее время, затраченное территориальной сетевой организацией на направление </w:t>
            </w:r>
            <w:r>
              <w:rPr>
                <w:rFonts w:cs="Calibri"/>
              </w:rPr>
              <w:lastRenderedPageBreak/>
              <w:t>проекта договора оказания услуг по передаче электрической энергии потребителю услуг (заявителю), дней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3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1.2. Среднее время, необходимое для оборудования точки поставки приборами учета с момента подачи заявления потребителем услуг: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а) для физических лиц, включая индивидуальных предпринимателей, и юридических лиц - субъектов малого и среднего предпринимательства, дней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б) для остальных потребителей услуг, дней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1.3. Количество случаев отказа от заключения и случаев расторжения потребителем услуг договоров оказания услуг по передаче электрической энергии, процентов от общего количества заключенных территориальной сетевой организацией договоров с потребителями услуг (заявителями), кроме физических лиц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bookmarkStart w:id="4" w:name="Par772"/>
            <w:bookmarkEnd w:id="4"/>
            <w:r>
              <w:rPr>
                <w:rFonts w:cs="Calibri"/>
              </w:rPr>
              <w:t>2. Соблюдение требований нормативных правовых актов Российской Федерации по поддержанию качества электрической энергии, по критерию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2.1. Количество обращений потребителей услуг с указанием на ненадлежащее качество электрической энергии,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bookmarkStart w:id="5" w:name="Par784"/>
            <w:bookmarkEnd w:id="5"/>
            <w:r>
              <w:rPr>
                <w:rFonts w:cs="Calibri"/>
              </w:rPr>
              <w:t>3. Наличие взаимодействия с потребителями услуг при выводе оборудования в ремонт и (или) из эксплуатации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3.1. Наличие (отсутствие) установленной процедуры согласования с потребителями услуг графиков вывода электросетевого оборудования в ремонт и (или) из эксплуатации (наличие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3.2. Количество обращений потребителей услуг с указанием на несогласие введения предлагаемых территориальной сетевой организацией графиков вывода </w:t>
            </w:r>
            <w:r>
              <w:rPr>
                <w:rFonts w:cs="Calibri"/>
              </w:rPr>
              <w:lastRenderedPageBreak/>
              <w:t>электросетевого оборудования в ремонт и (или) из эксплуатации, процентов от общего количества поступивших обращений, кроме физических лиц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bookmarkStart w:id="6" w:name="Par808"/>
            <w:bookmarkEnd w:id="6"/>
            <w:r>
              <w:rPr>
                <w:rFonts w:cs="Calibri"/>
              </w:rPr>
              <w:lastRenderedPageBreak/>
              <w:t>4. Соблюдение требований нормативных правовых актов по защите персональных данных потребителей услуг (заявителей), по критерию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0,2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4.1. Количество обращений потребителей услуг (заявителей) с указанием на неправомерность использования персональных данных потребителей услуг (заявителей),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0,2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 Итого по индикатору исполнительности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0,425</w:t>
            </w:r>
          </w:p>
        </w:tc>
      </w:tr>
    </w:tbl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FD1979">
      <w:pPr>
        <w:pStyle w:val="ConsPlusNonformat"/>
      </w:pPr>
      <w:r>
        <w:t>_</w:t>
      </w:r>
      <w:r>
        <w:rPr>
          <w:u w:val="single"/>
        </w:rPr>
        <w:t>_Главный энергетик_____</w:t>
      </w:r>
      <w:r>
        <w:t xml:space="preserve">          </w:t>
      </w:r>
      <w:r>
        <w:rPr>
          <w:u w:val="single"/>
        </w:rPr>
        <w:t>______Борисов О.В.   _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</w:t>
      </w:r>
      <w:r>
        <w:t>Должность                        Ф.И.О.                Подпись</w:t>
      </w:r>
    </w:p>
    <w:p w:rsidR="004675FB" w:rsidRDefault="004675FB">
      <w:pPr>
        <w:pStyle w:val="ConsPlusNonformat"/>
      </w:pPr>
    </w:p>
    <w:p w:rsidR="004675FB" w:rsidRDefault="004675FB">
      <w:pPr>
        <w:pStyle w:val="ConsPlusNonformat"/>
      </w:pP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4675FB">
      <w:pPr>
        <w:pStyle w:val="a3"/>
        <w:widowControl w:val="0"/>
        <w:spacing w:after="0" w:line="100" w:lineRule="atLeast"/>
        <w:jc w:val="right"/>
      </w:pPr>
      <w:bookmarkStart w:id="7" w:name="Par832"/>
      <w:bookmarkEnd w:id="7"/>
    </w:p>
    <w:p w:rsidR="004675FB" w:rsidRDefault="004675FB">
      <w:pPr>
        <w:pStyle w:val="a3"/>
        <w:widowControl w:val="0"/>
        <w:spacing w:after="0" w:line="100" w:lineRule="atLeast"/>
      </w:pPr>
    </w:p>
    <w:p w:rsidR="004675FB" w:rsidRDefault="004675FB">
      <w:pPr>
        <w:pStyle w:val="a3"/>
        <w:widowControl w:val="0"/>
        <w:spacing w:after="0" w:line="100" w:lineRule="atLeast"/>
        <w:jc w:val="right"/>
      </w:pPr>
    </w:p>
    <w:p w:rsidR="004675FB" w:rsidRDefault="00FD1979">
      <w:pPr>
        <w:pStyle w:val="ConsPlusNonformat"/>
      </w:pPr>
      <w:bookmarkStart w:id="8" w:name="Par834"/>
      <w:bookmarkEnd w:id="8"/>
      <w:r>
        <w:rPr>
          <w:rFonts w:eastAsia="Courier New"/>
        </w:rPr>
        <w:t xml:space="preserve">          </w:t>
      </w:r>
      <w:r>
        <w:t>Форма 2.3 - Расчет значения индикатора результативности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                 </w:t>
      </w:r>
      <w:r>
        <w:t>обратной связи</w:t>
      </w:r>
    </w:p>
    <w:p w:rsidR="004675FB" w:rsidRDefault="004675FB">
      <w:pPr>
        <w:pStyle w:val="ConsPlusNonformat"/>
      </w:pPr>
    </w:p>
    <w:p w:rsidR="004675FB" w:rsidRDefault="00FD1979">
      <w:pPr>
        <w:pStyle w:val="ConsPlusNonformat"/>
      </w:pPr>
      <w:r>
        <w:t>_______________________</w:t>
      </w:r>
      <w:r>
        <w:rPr>
          <w:u w:val="single"/>
        </w:rPr>
        <w:t>АО «УКБП»_______________________________________________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3707"/>
        <w:gridCol w:w="1327"/>
        <w:gridCol w:w="1058"/>
        <w:gridCol w:w="999"/>
        <w:gridCol w:w="1338"/>
        <w:gridCol w:w="1279"/>
      </w:tblGrid>
      <w:tr w:rsidR="004675FB">
        <w:tc>
          <w:tcPr>
            <w:tcW w:w="39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Параметр (показатель), характеризующий индикатор</w:t>
            </w:r>
          </w:p>
        </w:tc>
        <w:tc>
          <w:tcPr>
            <w:tcW w:w="2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  <w:tc>
          <w:tcPr>
            <w:tcW w:w="10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 xml:space="preserve">Ф /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 xml:space="preserve"> x 100, %</w:t>
            </w:r>
          </w:p>
        </w:tc>
        <w:tc>
          <w:tcPr>
            <w:tcW w:w="10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w="12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Оценочный балл</w:t>
            </w:r>
          </w:p>
        </w:tc>
      </w:tr>
      <w:tr w:rsidR="004675FB">
        <w:tc>
          <w:tcPr>
            <w:tcW w:w="3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ind w:firstLine="540"/>
              <w:jc w:val="both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w="10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 Наличие структурного подразделения территориальной сетевой организации по рассмотрению, обработке и принятию мер по обращениям потребителей услуг (наличие - 1, отсутствие - 0)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 Степень удовлетворения обращений потребителей услуг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2.1. Общее количество обращений потребителей услуг с указанием на ненадлежащее качество услуг по передаче электрической энергии и </w:t>
            </w:r>
            <w:r>
              <w:rPr>
                <w:rFonts w:cs="Calibri"/>
              </w:rPr>
              <w:lastRenderedPageBreak/>
              <w:t>обслуживание, процентов от общего количества поступивших обращений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2.2.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2.3. </w:t>
            </w:r>
            <w:proofErr w:type="gramStart"/>
            <w:r>
              <w:rPr>
                <w:rFonts w:cs="Calibri"/>
              </w:rPr>
              <w:t>Количество обращений, связанных с неудовлетворенностью принятыми мерами, указанными в п. 2.2 настоящей формы, поступивших от потребителей услуг в течение 30 рабочих дней после завершения мероприятий, указанных в п. 2.2 настоящей формы, процентов от общего количества поступивших обращений</w:t>
            </w:r>
            <w:proofErr w:type="gramEnd"/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2.4. Количество обращений потребителей услуг с указанием на ненадлежащее качество услуг, оказываемых территориальной сетевой организацией, поступивших в соответствующий контролирующий орган исполнительной власти, процентов от общего количества поступивших обращений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2.5. Количество отзывов и предложений по вопросам деятельности территориальной сетевой организации, поступивших через обратную связь, в процентах от общего количества поступивших обращений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2.6. Количество реализованных изменений в деятельности организации, направленных на повышение качества обслуживания потребителей услуг, шт.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 Оперативность реагирования на обращения потребителей услуг - всего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3.1. Средняя продолжительность времени принятия мер по результатам обращения потребителя услуг, дней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3.2. Взаимодействие территориальной сетевой организации с потребителями услуг с </w:t>
            </w:r>
            <w:r>
              <w:rPr>
                <w:rFonts w:cs="Calibri"/>
              </w:rPr>
              <w:lastRenderedPageBreak/>
              <w:t>целью получения информации о качестве обслуживания, реализованное посредством: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-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а) письменных опросов, шт. на 1000 потребителей услуг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б) электронной связи через сеть Интернет, шт. на 1000 потребителей услуг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в) системы </w:t>
            </w:r>
            <w:proofErr w:type="spellStart"/>
            <w:r>
              <w:rPr>
                <w:rFonts w:cs="Calibri"/>
              </w:rPr>
              <w:t>автоинформирования</w:t>
            </w:r>
            <w:proofErr w:type="spellEnd"/>
            <w:r>
              <w:rPr>
                <w:rFonts w:cs="Calibri"/>
              </w:rPr>
              <w:t xml:space="preserve">, шт. на 1000 потребителей услуг </w:t>
            </w:r>
            <w:hyperlink w:anchor="Par996">
              <w:r>
                <w:rPr>
                  <w:rStyle w:val="-"/>
                </w:rPr>
                <w:t>&lt;1&gt;</w:t>
              </w:r>
            </w:hyperlink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 Индивидуальность подхода к потребителям услуг льготных категорий, по критерию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4.1. Количество обращений потребителей услуг льготных категорий с указанием на неудовлетворительность качества их обслуживания, шт. на 1000 потребителей услуг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 Оперативность возмещения убытков потребителям услуг при несоблюдении территориальной сетевой организацией обязательств, предусмотренных нормативными правовыми актами и договорами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5.1. Средняя продолжительность времени на принятие территориальной сетевой организацией мер по возмещению потребителю услуг убытков, месяцев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5.2. Доля потребителей услуг, получивших возмещение убытков, возникших в результате неисполнения (ненадлежащего исполнения) территориальной сетевой организацией своих обязательств, от числа потребителей, в пользу которых было вынесено судебное решение, или возмещение было произведено во внесудебном порядке, процентов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 Итого по индикатору результативность обратной связи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</w:tbl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FD1979">
      <w:pPr>
        <w:pStyle w:val="ConsPlusNonformat"/>
      </w:pPr>
      <w:r>
        <w:rPr>
          <w:u w:val="single"/>
        </w:rPr>
        <w:t>___Главный энергетик_____</w:t>
      </w:r>
      <w:r>
        <w:t xml:space="preserve">    </w:t>
      </w:r>
      <w:r>
        <w:rPr>
          <w:u w:val="single"/>
        </w:rPr>
        <w:t>_______Борисов О.В._______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</w:t>
      </w:r>
      <w:r>
        <w:t>Должность                   Ф.И.О.                    Подпись</w:t>
      </w:r>
    </w:p>
    <w:p w:rsidR="004675FB" w:rsidRDefault="004675FB">
      <w:pPr>
        <w:pStyle w:val="ConsPlusNonformat"/>
      </w:pP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FD1979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</w:rPr>
        <w:t>--------------------------------</w:t>
      </w:r>
    </w:p>
    <w:p w:rsidR="004675FB" w:rsidRDefault="00FD1979">
      <w:pPr>
        <w:pStyle w:val="a3"/>
        <w:widowControl w:val="0"/>
        <w:spacing w:after="0" w:line="100" w:lineRule="atLeast"/>
        <w:ind w:firstLine="540"/>
        <w:jc w:val="both"/>
      </w:pPr>
      <w:bookmarkStart w:id="9" w:name="Par996"/>
      <w:bookmarkEnd w:id="9"/>
      <w:r>
        <w:rPr>
          <w:rFonts w:cs="Calibri"/>
        </w:rPr>
        <w:t xml:space="preserve">&lt;1&gt; Расчет производится при наличии в территориальной сетевой организации Системы </w:t>
      </w:r>
      <w:proofErr w:type="spellStart"/>
      <w:r>
        <w:rPr>
          <w:rFonts w:cs="Calibri"/>
        </w:rPr>
        <w:t>автоинформирования</w:t>
      </w:r>
      <w:proofErr w:type="spellEnd"/>
      <w:r>
        <w:rPr>
          <w:rFonts w:cs="Calibri"/>
        </w:rPr>
        <w:t xml:space="preserve"> (</w:t>
      </w:r>
      <w:proofErr w:type="gramStart"/>
      <w:r>
        <w:rPr>
          <w:rFonts w:cs="Calibri"/>
        </w:rPr>
        <w:t>голосовая</w:t>
      </w:r>
      <w:proofErr w:type="gramEnd"/>
      <w:r>
        <w:rPr>
          <w:rFonts w:cs="Calibri"/>
        </w:rPr>
        <w:t>, СМС и другим способом).</w:t>
      </w: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4675FB">
      <w:pPr>
        <w:pStyle w:val="a3"/>
        <w:widowControl w:val="0"/>
        <w:spacing w:after="0" w:line="100" w:lineRule="atLeast"/>
        <w:jc w:val="right"/>
      </w:pPr>
      <w:bookmarkStart w:id="10" w:name="Par1000"/>
      <w:bookmarkEnd w:id="10"/>
    </w:p>
    <w:p w:rsidR="004675FB" w:rsidRDefault="004675FB">
      <w:pPr>
        <w:pStyle w:val="a3"/>
        <w:widowControl w:val="0"/>
        <w:spacing w:after="0" w:line="100" w:lineRule="atLeast"/>
      </w:pPr>
    </w:p>
    <w:p w:rsidR="004675FB" w:rsidRDefault="00FD1979">
      <w:pPr>
        <w:pStyle w:val="ConsPlusNonformat"/>
      </w:pPr>
      <w:bookmarkStart w:id="11" w:name="Par1002"/>
      <w:bookmarkEnd w:id="11"/>
      <w:r>
        <w:rPr>
          <w:rFonts w:eastAsia="Courier New"/>
        </w:rPr>
        <w:t xml:space="preserve">                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</w:t>
      </w:r>
      <w:r>
        <w:t xml:space="preserve">Форма 2.4 - Предложения </w:t>
      </w:r>
      <w:proofErr w:type="gramStart"/>
      <w:r>
        <w:t>территориальных</w:t>
      </w:r>
      <w:proofErr w:type="gramEnd"/>
      <w:r>
        <w:t xml:space="preserve"> сетевых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</w:t>
      </w:r>
      <w:r>
        <w:t>организаций по плановым значениям параметров (критериев),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</w:t>
      </w:r>
      <w:proofErr w:type="gramStart"/>
      <w:r>
        <w:t>характеризующих</w:t>
      </w:r>
      <w:proofErr w:type="gramEnd"/>
      <w:r>
        <w:t xml:space="preserve"> индикаторы качества обслуживания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    </w:t>
      </w:r>
      <w:r>
        <w:t>потребителей, на каждый расчетный период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     </w:t>
      </w:r>
      <w:r>
        <w:t>регулирования в пределах долгосрочного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            </w:t>
      </w:r>
      <w:r>
        <w:t>периода регулирования.</w:t>
      </w:r>
    </w:p>
    <w:p w:rsidR="004675FB" w:rsidRDefault="004675FB">
      <w:pPr>
        <w:pStyle w:val="ConsPlusNonformat"/>
      </w:pPr>
    </w:p>
    <w:p w:rsidR="004675FB" w:rsidRDefault="00FD1979">
      <w:pPr>
        <w:pStyle w:val="ConsPlusNonformat"/>
      </w:pPr>
      <w:r>
        <w:t>_____________________</w:t>
      </w:r>
      <w:r>
        <w:rPr>
          <w:u w:val="single"/>
        </w:rPr>
        <w:t>АО «УКБП»_________________________________________________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746"/>
        <w:gridCol w:w="780"/>
        <w:gridCol w:w="777"/>
        <w:gridCol w:w="777"/>
        <w:gridCol w:w="783"/>
        <w:gridCol w:w="815"/>
      </w:tblGrid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39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 показателя, годы: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 xml:space="preserve">Предлагаемые плановые значения параметров (критериев), характеризующих индикаторы качества </w:t>
            </w:r>
            <w:hyperlink w:anchor="Par1266">
              <w:r>
                <w:rPr>
                  <w:rStyle w:val="-"/>
                </w:rPr>
                <w:t>&lt;2&gt;</w:t>
              </w:r>
            </w:hyperlink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2022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2023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2024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1.1.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а)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б)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в)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г)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2.1.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2.2.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5.1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6.1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6.2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1.1.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а)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б)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1.3.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2.1.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3.1.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3.2.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4.1.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" cy="228600"/>
                  <wp:effectExtent l="0" t="0" r="0" b="0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1.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1.1.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</w:pP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1.2.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</w:pP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2.1.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2.2.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2.3.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2.4.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2.5.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2.6.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3.1.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3.2. а)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3.2. б)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lastRenderedPageBreak/>
              <w:t>3.2. в)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4.1.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5.1.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5.2.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Предлагаемое плановое значение </w:t>
            </w:r>
            <w:proofErr w:type="gramStart"/>
            <w:r>
              <w:rPr>
                <w:rFonts w:cs="Calibri"/>
              </w:rPr>
              <w:t>показателя уровня качества обслуживания потребителей услуг</w:t>
            </w:r>
            <w:proofErr w:type="gramEnd"/>
            <w:r>
              <w:rPr>
                <w:rFonts w:cs="Calibri"/>
              </w:rPr>
              <w:t xml:space="preserve"> территориальными сетевыми организациями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</w:tr>
    </w:tbl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Pr="00FD1979" w:rsidRDefault="00FD1979">
      <w:pPr>
        <w:pStyle w:val="ConsPlusNonformat"/>
        <w:rPr>
          <w:u w:val="single"/>
        </w:rPr>
      </w:pPr>
      <w:r>
        <w:rPr>
          <w:u w:val="single"/>
        </w:rPr>
        <w:t>___Главный энергетик</w:t>
      </w:r>
      <w:r>
        <w:t xml:space="preserve">________       </w:t>
      </w:r>
      <w:r>
        <w:rPr>
          <w:u w:val="single"/>
        </w:rPr>
        <w:t xml:space="preserve">  Борисов О.В.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</w:t>
      </w:r>
      <w:r>
        <w:t>Должность                          Ф.И.О.                Подпись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</w:t>
      </w: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FD1979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</w:rPr>
        <w:t>--------------------------------</w:t>
      </w:r>
    </w:p>
    <w:p w:rsidR="004675FB" w:rsidRDefault="00FD1979">
      <w:pPr>
        <w:pStyle w:val="a3"/>
        <w:widowControl w:val="0"/>
        <w:spacing w:after="0" w:line="100" w:lineRule="atLeast"/>
        <w:ind w:firstLine="540"/>
        <w:jc w:val="both"/>
      </w:pPr>
      <w:bookmarkStart w:id="12" w:name="Par1265"/>
      <w:bookmarkEnd w:id="12"/>
      <w:r>
        <w:rPr>
          <w:rFonts w:cs="Calibri"/>
        </w:rPr>
        <w:t>&lt;1&gt;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регулирования.</w:t>
      </w:r>
    </w:p>
    <w:p w:rsidR="004675FB" w:rsidRDefault="00FD1979">
      <w:pPr>
        <w:pStyle w:val="a3"/>
        <w:widowControl w:val="0"/>
        <w:spacing w:after="0" w:line="100" w:lineRule="atLeast"/>
        <w:ind w:firstLine="540"/>
        <w:jc w:val="both"/>
      </w:pPr>
      <w:bookmarkStart w:id="13" w:name="Par1266"/>
      <w:bookmarkEnd w:id="13"/>
      <w:r>
        <w:rPr>
          <w:rFonts w:cs="Calibri"/>
        </w:rPr>
        <w:t xml:space="preserve">&lt;2&gt; Нумерация пунктов показателей параметров, характеризующих индикаторы качества, приведена в соответствии с </w:t>
      </w:r>
      <w:hyperlink w:anchor="Par548">
        <w:r>
          <w:rPr>
            <w:rStyle w:val="-"/>
          </w:rPr>
          <w:t>формами 2.1</w:t>
        </w:r>
      </w:hyperlink>
      <w:r>
        <w:rPr>
          <w:rFonts w:cs="Calibri"/>
        </w:rPr>
        <w:t xml:space="preserve"> - </w:t>
      </w:r>
      <w:hyperlink w:anchor="Par834">
        <w:r>
          <w:rPr>
            <w:rStyle w:val="-"/>
          </w:rPr>
          <w:t>2.3</w:t>
        </w:r>
      </w:hyperlink>
      <w:r>
        <w:rPr>
          <w:rFonts w:cs="Calibri"/>
        </w:rPr>
        <w:t xml:space="preserve"> настоящего приложения.</w:t>
      </w:r>
    </w:p>
    <w:p w:rsidR="004675FB" w:rsidRDefault="00FD1979">
      <w:pPr>
        <w:pStyle w:val="a3"/>
        <w:widowControl w:val="0"/>
        <w:spacing w:after="0" w:line="100" w:lineRule="atLeast"/>
        <w:jc w:val="right"/>
      </w:pPr>
      <w:bookmarkStart w:id="14" w:name="Par1272"/>
      <w:bookmarkEnd w:id="14"/>
      <w:r>
        <w:rPr>
          <w:rFonts w:cs="Calibri"/>
        </w:rPr>
        <w:t xml:space="preserve">     Приложение N 3</w:t>
      </w:r>
    </w:p>
    <w:p w:rsidR="004675FB" w:rsidRDefault="00FD1979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к методическим указаниям по расчету уровня надежности</w:t>
      </w:r>
    </w:p>
    <w:p w:rsidR="004675FB" w:rsidRDefault="00FD1979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и качества поставляемых товаров и оказываемых услуг для организации</w:t>
      </w:r>
    </w:p>
    <w:p w:rsidR="004675FB" w:rsidRDefault="00FD1979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 xml:space="preserve">по управлению </w:t>
      </w:r>
      <w:proofErr w:type="gramStart"/>
      <w:r>
        <w:rPr>
          <w:rFonts w:cs="Calibri"/>
        </w:rPr>
        <w:t>единой</w:t>
      </w:r>
      <w:proofErr w:type="gramEnd"/>
      <w:r>
        <w:rPr>
          <w:rFonts w:cs="Calibri"/>
        </w:rPr>
        <w:t xml:space="preserve"> национальной (общероссийской) электрической</w:t>
      </w:r>
    </w:p>
    <w:p w:rsidR="004675FB" w:rsidRDefault="00FD1979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сетью и территориальных сетевых организаций</w:t>
      </w:r>
    </w:p>
    <w:p w:rsidR="004675FB" w:rsidRDefault="004675FB">
      <w:pPr>
        <w:pStyle w:val="a3"/>
        <w:widowControl w:val="0"/>
        <w:spacing w:after="0" w:line="100" w:lineRule="atLeast"/>
        <w:jc w:val="center"/>
      </w:pPr>
    </w:p>
    <w:p w:rsidR="004675FB" w:rsidRDefault="004675FB">
      <w:pPr>
        <w:pStyle w:val="a3"/>
        <w:widowControl w:val="0"/>
        <w:spacing w:after="0" w:line="100" w:lineRule="atLeast"/>
        <w:jc w:val="center"/>
      </w:pPr>
    </w:p>
    <w:p w:rsidR="004675FB" w:rsidRDefault="004675FB">
      <w:pPr>
        <w:pStyle w:val="a3"/>
        <w:widowControl w:val="0"/>
        <w:spacing w:after="0" w:line="100" w:lineRule="atLeast"/>
        <w:jc w:val="center"/>
      </w:pPr>
    </w:p>
    <w:p w:rsidR="004675FB" w:rsidRDefault="00FD1979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ФОРМЫ,</w:t>
      </w:r>
    </w:p>
    <w:p w:rsidR="004675FB" w:rsidRDefault="00FD1979">
      <w:pPr>
        <w:pStyle w:val="a3"/>
        <w:widowControl w:val="0"/>
        <w:spacing w:after="0" w:line="100" w:lineRule="atLeast"/>
        <w:jc w:val="center"/>
      </w:pPr>
      <w:proofErr w:type="gramStart"/>
      <w:r>
        <w:rPr>
          <w:rFonts w:cs="Calibri"/>
        </w:rPr>
        <w:t>ИСПОЛЬЗУЕМЫЕ</w:t>
      </w:r>
      <w:proofErr w:type="gramEnd"/>
      <w:r>
        <w:rPr>
          <w:rFonts w:cs="Calibri"/>
        </w:rPr>
        <w:t xml:space="preserve"> ДЛЯ РАСЧЕТА ЗНАЧЕНИЙ ПОКАЗАТЕЛЕЙ УРОВНЯ</w:t>
      </w:r>
    </w:p>
    <w:p w:rsidR="004675FB" w:rsidRDefault="00FD1979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КАЧЕСТВА ОКАЗЫВАЕМЫХ УСЛУГ</w:t>
      </w:r>
    </w:p>
    <w:p w:rsidR="004675FB" w:rsidRDefault="004675FB">
      <w:pPr>
        <w:pStyle w:val="a3"/>
        <w:widowControl w:val="0"/>
        <w:spacing w:after="0" w:line="100" w:lineRule="atLeast"/>
        <w:jc w:val="right"/>
      </w:pPr>
      <w:bookmarkStart w:id="15" w:name="Par1286"/>
      <w:bookmarkEnd w:id="15"/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FD1979">
      <w:pPr>
        <w:pStyle w:val="ConsPlusNonformat"/>
      </w:pPr>
      <w:bookmarkStart w:id="16" w:name="Par1288"/>
      <w:bookmarkEnd w:id="16"/>
      <w:r>
        <w:rPr>
          <w:rFonts w:eastAsia="Courier New"/>
        </w:rPr>
        <w:t xml:space="preserve">             </w:t>
      </w:r>
      <w:r>
        <w:t>Форма 3.1 - Отчетные данные для расчета значения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</w:t>
      </w:r>
      <w:r>
        <w:t xml:space="preserve">показателя качества рассмотрения заявок на </w:t>
      </w:r>
      <w:proofErr w:type="gramStart"/>
      <w:r>
        <w:t>технологическое</w:t>
      </w:r>
      <w:proofErr w:type="gramEnd"/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       </w:t>
      </w:r>
      <w:r>
        <w:t>присоединение к сети в период 2019 г.</w:t>
      </w:r>
    </w:p>
    <w:p w:rsidR="004675FB" w:rsidRDefault="004675FB">
      <w:pPr>
        <w:pStyle w:val="ConsPlusNonformat"/>
      </w:pPr>
    </w:p>
    <w:p w:rsidR="004675FB" w:rsidRDefault="00FD1979">
      <w:pPr>
        <w:pStyle w:val="ConsPlusNonformat"/>
      </w:pPr>
      <w:r>
        <w:rPr>
          <w:u w:val="single"/>
        </w:rPr>
        <w:t>______________АО «УКБП»________________________________________________________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</w:t>
      </w:r>
      <w:r>
        <w:t>Наименование электросетевой организации (подразделения/филиала)</w:t>
      </w:r>
    </w:p>
    <w:p w:rsidR="004675FB" w:rsidRDefault="004675FB">
      <w:pPr>
        <w:pStyle w:val="a3"/>
        <w:widowControl w:val="0"/>
        <w:spacing w:after="0" w:line="100" w:lineRule="atLeast"/>
        <w:jc w:val="both"/>
      </w:pPr>
    </w:p>
    <w:tbl>
      <w:tblPr>
        <w:tblW w:w="0" w:type="auto"/>
        <w:tblInd w:w="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829"/>
        <w:gridCol w:w="1849"/>
      </w:tblGrid>
      <w:tr w:rsidR="004675FB">
        <w:tc>
          <w:tcPr>
            <w:tcW w:w="7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Число, шт.</w:t>
            </w:r>
          </w:p>
        </w:tc>
      </w:tr>
      <w:tr w:rsidR="004675FB">
        <w:tc>
          <w:tcPr>
            <w:tcW w:w="7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7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523875" cy="238125"/>
                  <wp:effectExtent l="0" t="0" r="0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0</w:t>
            </w:r>
          </w:p>
        </w:tc>
      </w:tr>
      <w:tr w:rsidR="004675FB">
        <w:tc>
          <w:tcPr>
            <w:tcW w:w="7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571500" cy="257175"/>
                  <wp:effectExtent l="0" t="0" r="0" b="0"/>
                  <wp:docPr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 0</w:t>
            </w:r>
          </w:p>
        </w:tc>
      </w:tr>
      <w:tr w:rsidR="004675FB">
        <w:tc>
          <w:tcPr>
            <w:tcW w:w="7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Показатель качества рассмотрения заявок на технологическое присоединение к </w:t>
            </w:r>
            <w:r>
              <w:rPr>
                <w:rFonts w:cs="Calibri"/>
              </w:rPr>
              <w:lastRenderedPageBreak/>
              <w:t>сети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85775" cy="238125"/>
                  <wp:effectExtent l="0" t="0" r="0" b="0"/>
                  <wp:docPr id="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 xml:space="preserve">                1  </w:t>
            </w:r>
          </w:p>
        </w:tc>
      </w:tr>
    </w:tbl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Pr="00FD1979" w:rsidRDefault="00FD1979">
      <w:pPr>
        <w:pStyle w:val="a3"/>
        <w:widowControl w:val="0"/>
        <w:spacing w:after="0" w:line="100" w:lineRule="atLeast"/>
        <w:jc w:val="both"/>
        <w:rPr>
          <w:u w:val="single"/>
        </w:rPr>
      </w:pPr>
      <w:r>
        <w:rPr>
          <w:rFonts w:cs="Calibri"/>
          <w:u w:val="single"/>
        </w:rPr>
        <w:t>____Главный энергетик________</w:t>
      </w:r>
      <w:r>
        <w:rPr>
          <w:rFonts w:cs="Calibri"/>
        </w:rPr>
        <w:t xml:space="preserve">                 </w:t>
      </w:r>
      <w:r>
        <w:rPr>
          <w:rFonts w:cs="Calibri"/>
          <w:u w:val="single"/>
        </w:rPr>
        <w:t xml:space="preserve">       Борисов О.В.</w:t>
      </w:r>
    </w:p>
    <w:p w:rsidR="004675FB" w:rsidRDefault="00FD1979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</w:rPr>
        <w:t xml:space="preserve">        Должность                                                 Ф.И.О.                                                  Подпись</w:t>
      </w: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4675FB">
      <w:pPr>
        <w:pStyle w:val="a3"/>
        <w:widowControl w:val="0"/>
        <w:spacing w:after="0" w:line="100" w:lineRule="atLeast"/>
        <w:jc w:val="both"/>
      </w:pP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4675FB">
      <w:pPr>
        <w:pStyle w:val="a3"/>
        <w:widowControl w:val="0"/>
        <w:spacing w:after="0" w:line="100" w:lineRule="atLeast"/>
        <w:jc w:val="right"/>
      </w:pPr>
      <w:bookmarkStart w:id="17" w:name="Par1308"/>
      <w:bookmarkEnd w:id="17"/>
    </w:p>
    <w:p w:rsidR="004675FB" w:rsidRDefault="004675FB">
      <w:pPr>
        <w:pStyle w:val="a3"/>
        <w:widowControl w:val="0"/>
        <w:spacing w:after="0" w:line="100" w:lineRule="atLeast"/>
        <w:jc w:val="right"/>
      </w:pPr>
    </w:p>
    <w:p w:rsidR="004675FB" w:rsidRDefault="004675FB">
      <w:pPr>
        <w:pStyle w:val="a3"/>
        <w:widowControl w:val="0"/>
        <w:spacing w:after="0" w:line="100" w:lineRule="atLeast"/>
        <w:jc w:val="right"/>
      </w:pPr>
    </w:p>
    <w:p w:rsidR="004675FB" w:rsidRDefault="004675FB">
      <w:pPr>
        <w:pStyle w:val="a3"/>
        <w:widowControl w:val="0"/>
        <w:spacing w:after="0" w:line="100" w:lineRule="atLeast"/>
        <w:jc w:val="right"/>
      </w:pPr>
    </w:p>
    <w:p w:rsidR="004675FB" w:rsidRDefault="004675FB">
      <w:pPr>
        <w:pStyle w:val="a3"/>
        <w:widowControl w:val="0"/>
        <w:spacing w:after="0" w:line="100" w:lineRule="atLeast"/>
        <w:jc w:val="right"/>
      </w:pPr>
    </w:p>
    <w:p w:rsidR="004675FB" w:rsidRDefault="004675FB">
      <w:pPr>
        <w:pStyle w:val="a3"/>
        <w:widowControl w:val="0"/>
        <w:spacing w:after="0" w:line="100" w:lineRule="atLeast"/>
        <w:jc w:val="right"/>
      </w:pPr>
    </w:p>
    <w:p w:rsidR="004675FB" w:rsidRDefault="004675FB">
      <w:pPr>
        <w:pStyle w:val="a3"/>
        <w:widowControl w:val="0"/>
        <w:spacing w:after="0" w:line="100" w:lineRule="atLeast"/>
        <w:jc w:val="right"/>
      </w:pPr>
    </w:p>
    <w:p w:rsidR="004675FB" w:rsidRDefault="004675FB">
      <w:pPr>
        <w:pStyle w:val="a3"/>
        <w:widowControl w:val="0"/>
        <w:spacing w:after="0" w:line="100" w:lineRule="atLeast"/>
        <w:jc w:val="right"/>
      </w:pP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FD1979">
      <w:pPr>
        <w:pStyle w:val="ConsPlusNonformat"/>
      </w:pPr>
      <w:bookmarkStart w:id="18" w:name="Par1310"/>
      <w:bookmarkEnd w:id="18"/>
      <w:r>
        <w:rPr>
          <w:rFonts w:eastAsia="Courier New"/>
        </w:rPr>
        <w:t xml:space="preserve">             </w:t>
      </w:r>
      <w:r>
        <w:t>Форма 3.2 - Отчетные данные для расчета значения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</w:t>
      </w:r>
      <w:r>
        <w:t>показателя качества исполнения договоров об осуществлении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    </w:t>
      </w:r>
      <w:r>
        <w:t>технологического присоединения заявителей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              </w:t>
      </w:r>
      <w:r>
        <w:t>к сети, в период 2019 г.</w:t>
      </w:r>
    </w:p>
    <w:p w:rsidR="004675FB" w:rsidRDefault="004675FB">
      <w:pPr>
        <w:pStyle w:val="ConsPlusNonformat"/>
      </w:pPr>
    </w:p>
    <w:p w:rsidR="004675FB" w:rsidRDefault="00FD1979">
      <w:pPr>
        <w:pStyle w:val="ConsPlusNonformat"/>
      </w:pPr>
      <w:r>
        <w:rPr>
          <w:u w:val="single"/>
        </w:rPr>
        <w:t>______                       АО «УКБП»_________________________________________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</w:t>
      </w:r>
      <w:r>
        <w:t>Наименование электросетевой организации (подразделения/филиала)</w:t>
      </w:r>
    </w:p>
    <w:p w:rsidR="004675FB" w:rsidRDefault="004675FB">
      <w:pPr>
        <w:pStyle w:val="a3"/>
        <w:widowControl w:val="0"/>
        <w:spacing w:after="0" w:line="100" w:lineRule="atLeast"/>
        <w:jc w:val="both"/>
      </w:pPr>
    </w:p>
    <w:tbl>
      <w:tblPr>
        <w:tblW w:w="0" w:type="auto"/>
        <w:tblInd w:w="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828"/>
        <w:gridCol w:w="1831"/>
      </w:tblGrid>
      <w:tr w:rsidR="004675FB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Число, шт.</w:t>
            </w:r>
          </w:p>
        </w:tc>
      </w:tr>
      <w:tr w:rsidR="004675FB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90525" cy="238125"/>
                  <wp:effectExtent l="0" t="0" r="0" b="0"/>
                  <wp:docPr id="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0</w:t>
            </w:r>
          </w:p>
        </w:tc>
      </w:tr>
      <w:tr w:rsidR="004675FB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по которым произошло нарушение установленных сроков технологического присоединения,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95300" cy="257175"/>
                  <wp:effectExtent l="0" t="0" r="0" b="0"/>
                  <wp:docPr id="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0</w:t>
            </w:r>
          </w:p>
        </w:tc>
      </w:tr>
      <w:tr w:rsidR="004675FB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Показатель качества исполнения договоров об осуществлении технологического присоединения заявителей к сети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90525" cy="238125"/>
                  <wp:effectExtent l="0" t="0" r="0" b="0"/>
                  <wp:docPr id="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1</w:t>
            </w:r>
          </w:p>
        </w:tc>
      </w:tr>
    </w:tbl>
    <w:p w:rsidR="004675FB" w:rsidRDefault="004675FB">
      <w:pPr>
        <w:pStyle w:val="a3"/>
        <w:widowControl w:val="0"/>
        <w:spacing w:after="0" w:line="100" w:lineRule="atLeast"/>
      </w:pPr>
      <w:bookmarkStart w:id="19" w:name="Par1331"/>
      <w:bookmarkEnd w:id="19"/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FD1979">
      <w:pPr>
        <w:pStyle w:val="ConsPlusNonformat"/>
      </w:pPr>
      <w:bookmarkStart w:id="20" w:name="Par1333"/>
      <w:bookmarkEnd w:id="20"/>
      <w:r>
        <w:rPr>
          <w:rFonts w:eastAsia="Courier New"/>
        </w:rPr>
        <w:t xml:space="preserve">             </w:t>
      </w:r>
      <w:r>
        <w:t>Форма 3.3 - Отчетные данные для расчета значения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</w:t>
      </w:r>
      <w:r>
        <w:t>показателя соблюдения антимонопольного законодательства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  </w:t>
      </w:r>
      <w:r>
        <w:t>при технологическом присоединении заявителей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   </w:t>
      </w:r>
      <w:r>
        <w:t>к электрическим сетям сетевой организации,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                  </w:t>
      </w:r>
      <w:r>
        <w:t>в период 2018 г.</w:t>
      </w:r>
    </w:p>
    <w:p w:rsidR="004675FB" w:rsidRDefault="004675FB">
      <w:pPr>
        <w:pStyle w:val="ConsPlusNonformat"/>
      </w:pPr>
    </w:p>
    <w:p w:rsidR="004675FB" w:rsidRDefault="00FD1979">
      <w:pPr>
        <w:pStyle w:val="ConsPlusNonformat"/>
      </w:pPr>
      <w:r>
        <w:rPr>
          <w:u w:val="single"/>
        </w:rPr>
        <w:t>___________________________АО «УКБП»_______</w:t>
      </w:r>
      <w:r>
        <w:t>____________________________________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</w:t>
      </w:r>
      <w:r>
        <w:t>Наименование электросетевой организации (подразделения/филиала)</w:t>
      </w:r>
    </w:p>
    <w:p w:rsidR="004675FB" w:rsidRDefault="004675FB">
      <w:pPr>
        <w:pStyle w:val="a3"/>
        <w:widowControl w:val="0"/>
        <w:spacing w:after="0" w:line="100" w:lineRule="atLeast"/>
        <w:jc w:val="both"/>
      </w:pPr>
    </w:p>
    <w:tbl>
      <w:tblPr>
        <w:tblW w:w="0" w:type="auto"/>
        <w:tblInd w:w="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828"/>
        <w:gridCol w:w="1831"/>
      </w:tblGrid>
      <w:tr w:rsidR="004675FB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</w:tr>
      <w:tr w:rsidR="004675FB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4675FB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lastRenderedPageBreak/>
              <w:t>Число вступивших в законную силу решений антимонопольного органа и (или) суда об установлении нарушений сетевой организацией требований 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71475" cy="238125"/>
                  <wp:effectExtent l="0" t="0" r="0" b="0"/>
                  <wp:docPr id="1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Число, шт.</w:t>
            </w:r>
          </w:p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Общее число заявок на технологическое присоединение к сети, поданных заявителями в соответствующий расчетный период, десятки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38150" cy="238125"/>
                  <wp:effectExtent l="0" t="0" r="0" b="0"/>
                  <wp:docPr id="1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Количество, десятки шт. (без округления)</w:t>
            </w:r>
          </w:p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Показатель соблюдения антимонопольного законодательства при технологическом присоединении заявителей к электрическим сетям сетевой организации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57200" cy="238125"/>
                  <wp:effectExtent l="0" t="0" r="0" b="0"/>
                  <wp:docPr id="1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1</w:t>
            </w:r>
          </w:p>
        </w:tc>
      </w:tr>
    </w:tbl>
    <w:p w:rsidR="004675FB" w:rsidRDefault="004675FB">
      <w:pPr>
        <w:pStyle w:val="a3"/>
        <w:widowControl w:val="0"/>
        <w:spacing w:after="0" w:line="100" w:lineRule="atLeast"/>
      </w:pPr>
    </w:p>
    <w:p w:rsidR="004675FB" w:rsidRPr="00FD1979" w:rsidRDefault="00FD1979">
      <w:pPr>
        <w:pStyle w:val="a3"/>
        <w:widowControl w:val="0"/>
        <w:spacing w:after="0" w:line="100" w:lineRule="atLeast"/>
        <w:rPr>
          <w:u w:val="single"/>
        </w:rPr>
      </w:pPr>
      <w:r>
        <w:rPr>
          <w:rFonts w:cs="Calibri"/>
          <w:u w:val="single"/>
        </w:rPr>
        <w:t>___Главный энергетик</w:t>
      </w:r>
      <w:r>
        <w:rPr>
          <w:rFonts w:cs="Calibri"/>
        </w:rPr>
        <w:t xml:space="preserve">                                  </w:t>
      </w:r>
      <w:r>
        <w:rPr>
          <w:rFonts w:cs="Calibri"/>
          <w:u w:val="single"/>
        </w:rPr>
        <w:t xml:space="preserve">     Борисов О.В.</w:t>
      </w:r>
    </w:p>
    <w:p w:rsidR="004675FB" w:rsidRDefault="00FD1979">
      <w:pPr>
        <w:pStyle w:val="a3"/>
        <w:widowControl w:val="0"/>
        <w:spacing w:after="0" w:line="100" w:lineRule="atLeast"/>
      </w:pPr>
      <w:r>
        <w:rPr>
          <w:rFonts w:cs="Calibri"/>
        </w:rPr>
        <w:t xml:space="preserve">        Должность                                                        Ф.И.О.                                                    Подпись</w:t>
      </w:r>
    </w:p>
    <w:p w:rsidR="004675FB" w:rsidRDefault="004675FB">
      <w:pPr>
        <w:pStyle w:val="a3"/>
        <w:widowControl w:val="0"/>
        <w:spacing w:after="0" w:line="100" w:lineRule="atLeast"/>
      </w:pPr>
    </w:p>
    <w:p w:rsidR="004675FB" w:rsidRDefault="004675FB">
      <w:pPr>
        <w:pStyle w:val="a3"/>
        <w:widowControl w:val="0"/>
        <w:spacing w:after="0" w:line="100" w:lineRule="atLeast"/>
      </w:pPr>
    </w:p>
    <w:p w:rsidR="004675FB" w:rsidRDefault="00FD1979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Приложение N 4</w:t>
      </w:r>
    </w:p>
    <w:p w:rsidR="004675FB" w:rsidRDefault="00FD1979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к методическим указаниям по расчету уровня надежности</w:t>
      </w:r>
    </w:p>
    <w:p w:rsidR="004675FB" w:rsidRDefault="00FD1979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и качества поставляемых товаров и оказываемых услуг для организации</w:t>
      </w:r>
    </w:p>
    <w:p w:rsidR="004675FB" w:rsidRDefault="00FD1979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 xml:space="preserve">по управлению </w:t>
      </w:r>
      <w:proofErr w:type="gramStart"/>
      <w:r>
        <w:rPr>
          <w:rFonts w:cs="Calibri"/>
        </w:rPr>
        <w:t>единой</w:t>
      </w:r>
      <w:proofErr w:type="gramEnd"/>
      <w:r>
        <w:rPr>
          <w:rFonts w:cs="Calibri"/>
        </w:rPr>
        <w:t xml:space="preserve"> национальной (общероссийской) электрической</w:t>
      </w:r>
    </w:p>
    <w:p w:rsidR="004675FB" w:rsidRDefault="00FD1979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сетью и территориальных сетевых организаций</w:t>
      </w:r>
    </w:p>
    <w:p w:rsidR="004675FB" w:rsidRDefault="004675FB">
      <w:pPr>
        <w:pStyle w:val="a3"/>
        <w:widowControl w:val="0"/>
        <w:spacing w:after="0" w:line="100" w:lineRule="atLeast"/>
        <w:jc w:val="center"/>
      </w:pPr>
    </w:p>
    <w:p w:rsidR="004675FB" w:rsidRDefault="00FD1979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ФОРМА,</w:t>
      </w:r>
    </w:p>
    <w:p w:rsidR="004675FB" w:rsidRDefault="00FD1979">
      <w:pPr>
        <w:pStyle w:val="a3"/>
        <w:widowControl w:val="0"/>
        <w:spacing w:after="0" w:line="100" w:lineRule="atLeast"/>
        <w:jc w:val="center"/>
      </w:pPr>
      <w:proofErr w:type="gramStart"/>
      <w:r>
        <w:rPr>
          <w:rFonts w:cs="Calibri"/>
        </w:rPr>
        <w:t>ИСПОЛЬЗУЕМАЯ</w:t>
      </w:r>
      <w:proofErr w:type="gramEnd"/>
      <w:r>
        <w:rPr>
          <w:rFonts w:cs="Calibri"/>
        </w:rPr>
        <w:t xml:space="preserve"> ДЛЯ РАСЧЕТА ОБОБЩЕННОГО ПОКАЗАТЕЛЯ УРОВНЯ</w:t>
      </w:r>
    </w:p>
    <w:p w:rsidR="004675FB" w:rsidRDefault="00FD1979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НАДЕЖНОСТИ И КАЧЕСТВА ОКАЗЫВАЕМЫХ УСЛУГ</w:t>
      </w:r>
    </w:p>
    <w:p w:rsidR="004675FB" w:rsidRDefault="004675FB">
      <w:pPr>
        <w:pStyle w:val="a3"/>
        <w:widowControl w:val="0"/>
        <w:spacing w:after="0" w:line="100" w:lineRule="atLeast"/>
      </w:pPr>
      <w:bookmarkStart w:id="21" w:name="Par1371"/>
      <w:bookmarkEnd w:id="21"/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FD1979">
      <w:pPr>
        <w:pStyle w:val="a3"/>
        <w:widowControl w:val="0"/>
        <w:spacing w:after="0" w:line="100" w:lineRule="atLeast"/>
      </w:pPr>
      <w:r>
        <w:rPr>
          <w:rFonts w:cs="Calibri"/>
        </w:rPr>
        <w:t xml:space="preserve">                                                    Форма 4.1 - Показатели уровня надежности и уровня качества</w:t>
      </w:r>
    </w:p>
    <w:p w:rsidR="004675FB" w:rsidRDefault="00FD1979">
      <w:pPr>
        <w:pStyle w:val="a3"/>
        <w:widowControl w:val="0"/>
        <w:spacing w:after="0" w:line="100" w:lineRule="atLeast"/>
      </w:pPr>
      <w:r>
        <w:rPr>
          <w:rFonts w:cs="Calibri"/>
        </w:rPr>
        <w:t xml:space="preserve">                                                                       оказываемых услуг электросетевой организации</w:t>
      </w:r>
    </w:p>
    <w:p w:rsidR="004675FB" w:rsidRDefault="004675FB">
      <w:pPr>
        <w:pStyle w:val="a3"/>
        <w:widowControl w:val="0"/>
        <w:spacing w:after="0" w:line="100" w:lineRule="atLeast"/>
      </w:pPr>
    </w:p>
    <w:p w:rsidR="004675FB" w:rsidRDefault="00FD1979">
      <w:pPr>
        <w:pStyle w:val="a3"/>
        <w:widowControl w:val="0"/>
        <w:spacing w:after="0" w:line="100" w:lineRule="atLeast"/>
      </w:pPr>
      <w:r>
        <w:rPr>
          <w:rFonts w:cs="Calibri"/>
        </w:rPr>
        <w:t xml:space="preserve">                                                                                                </w:t>
      </w:r>
      <w:r>
        <w:rPr>
          <w:rFonts w:cs="Calibri"/>
          <w:u w:val="single"/>
        </w:rPr>
        <w:t xml:space="preserve">АО «УКБП»                                                                                                  </w:t>
      </w: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4903"/>
        <w:gridCol w:w="3261"/>
        <w:gridCol w:w="1515"/>
      </w:tblGrid>
      <w:tr w:rsidR="004675FB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N формулы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</w:tr>
      <w:tr w:rsidR="004675FB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0" t="0" r="0" b="0"/>
                  <wp:docPr id="1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hyperlink w:anchor="Par57">
              <w:r>
                <w:rPr>
                  <w:rStyle w:val="-"/>
                </w:rPr>
                <w:t>1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  <w:b/>
              </w:rPr>
              <w:t>0,0544</w:t>
            </w:r>
          </w:p>
        </w:tc>
      </w:tr>
      <w:tr w:rsidR="004675FB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Показатель уровня качества осуществляемого технологического присоединения,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38125"/>
                  <wp:effectExtent l="0" t="0" r="0" b="0"/>
                  <wp:docPr id="1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hyperlink w:anchor="Par71">
              <w:r>
                <w:rPr>
                  <w:rStyle w:val="-"/>
                </w:rPr>
                <w:t>2.1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</w:tr>
      <w:tr w:rsidR="004675FB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Показатель </w:t>
            </w:r>
            <w:proofErr w:type="gramStart"/>
            <w:r>
              <w:rPr>
                <w:rFonts w:cs="Calibri"/>
              </w:rPr>
              <w:t>уровня качества обслуживания потребителей услуг</w:t>
            </w:r>
            <w:proofErr w:type="gramEnd"/>
            <w:r>
              <w:rPr>
                <w:rFonts w:cs="Calibri"/>
              </w:rPr>
              <w:t xml:space="preserve"> территориальными сетевыми организациями,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1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hyperlink w:anchor="Par99">
              <w:r>
                <w:rPr>
                  <w:rStyle w:val="-"/>
                </w:rPr>
                <w:t>3.2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0,8975</w:t>
            </w:r>
          </w:p>
        </w:tc>
      </w:tr>
      <w:tr w:rsidR="004675FB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0" t="0" r="0" b="0"/>
                  <wp:docPr id="1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38125"/>
                  <wp:effectExtent l="0" t="0" r="0" b="0"/>
                  <wp:docPr id="1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hyperlink w:anchor="Par147">
              <w:r>
                <w:rPr>
                  <w:rStyle w:val="-"/>
                </w:rPr>
                <w:t>4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1,2056</w:t>
            </w:r>
          </w:p>
        </w:tc>
      </w:tr>
      <w:tr w:rsidR="004675FB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533400" cy="257175"/>
                  <wp:effectExtent l="0" t="0" r="0" b="0"/>
                  <wp:docPr id="1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85750" cy="209550"/>
                  <wp:effectExtent l="0" t="0" r="0" b="0"/>
                  <wp:docPr id="1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hyperlink w:anchor="Par147">
              <w:r>
                <w:rPr>
                  <w:rStyle w:val="-"/>
                </w:rPr>
                <w:t>4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</w:tr>
      <w:tr w:rsidR="004675FB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38150" cy="228600"/>
                  <wp:effectExtent l="0" t="0" r="0" b="0"/>
                  <wp:docPr id="2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85750" cy="209550"/>
                  <wp:effectExtent l="0" t="0" r="0" b="0"/>
                  <wp:docPr id="2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hyperlink w:anchor="Par147">
              <w:r>
                <w:rPr>
                  <w:rStyle w:val="-"/>
                </w:rPr>
                <w:t>4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0,8975</w:t>
            </w:r>
          </w:p>
        </w:tc>
      </w:tr>
      <w:tr w:rsidR="004675FB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Оценка </w:t>
            </w:r>
            <w:proofErr w:type="gramStart"/>
            <w:r>
              <w:rPr>
                <w:rFonts w:cs="Calibri"/>
              </w:rPr>
              <w:t xml:space="preserve">достижения показателя уровня </w:t>
            </w:r>
            <w:r>
              <w:rPr>
                <w:rFonts w:cs="Calibri"/>
              </w:rPr>
              <w:lastRenderedPageBreak/>
              <w:t>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2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  <w:r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lastRenderedPageBreak/>
              <w:t xml:space="preserve">Оценка достижения показателя уровня качества оказываемых услуг,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2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(организации по управлению единой национальной (общероссийской) электрической сетью)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  <w:r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2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(для территориальной сетевой организации)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  <w:r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2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(для территориальной сетевой организации)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  <w:r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</w:tbl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Pr="00FD1979" w:rsidRDefault="00FD1979">
      <w:pPr>
        <w:pStyle w:val="a3"/>
        <w:widowControl w:val="0"/>
        <w:spacing w:after="0" w:line="100" w:lineRule="atLeast"/>
        <w:ind w:firstLine="540"/>
        <w:jc w:val="both"/>
        <w:rPr>
          <w:u w:val="single"/>
        </w:rPr>
      </w:pPr>
      <w:r>
        <w:rPr>
          <w:rFonts w:cs="Calibri"/>
          <w:u w:val="single"/>
        </w:rPr>
        <w:t xml:space="preserve">____Главный энергетик  </w:t>
      </w:r>
      <w:r>
        <w:rPr>
          <w:rFonts w:cs="Calibri"/>
        </w:rPr>
        <w:t xml:space="preserve">                     </w:t>
      </w:r>
      <w:r>
        <w:rPr>
          <w:rFonts w:cs="Calibri"/>
          <w:u w:val="single"/>
        </w:rPr>
        <w:t xml:space="preserve">Борисов О.В. </w:t>
      </w:r>
    </w:p>
    <w:p w:rsidR="004675FB" w:rsidRDefault="00FD1979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</w:rPr>
        <w:t xml:space="preserve">        Должность                                               Ф.И.О.                                                      Подпись</w:t>
      </w: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  <w:bookmarkStart w:id="22" w:name="Par1412"/>
      <w:bookmarkEnd w:id="22"/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     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      </w:t>
      </w:r>
      <w:r>
        <w:t>Форма 4.2 - Расчет обобщенного показателя уровня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          </w:t>
      </w:r>
      <w:r>
        <w:t>надежности и качества оказываемых услуг АО «УКБП»</w:t>
      </w: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3854"/>
        <w:gridCol w:w="1973"/>
        <w:gridCol w:w="3848"/>
      </w:tblGrid>
      <w:tr w:rsidR="004675FB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N формулы методических указаний</w:t>
            </w: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</w:tr>
      <w:tr w:rsidR="004675FB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1. Коэффициент значимости показателя уровня надежности оказываемых услуг, альфа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сетью:</w:t>
            </w:r>
          </w:p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альфа = 0,75.</w:t>
            </w:r>
          </w:p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Для территориальной сетевой организации:</w:t>
            </w:r>
          </w:p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альфа = 0,65</w:t>
            </w:r>
          </w:p>
        </w:tc>
      </w:tr>
      <w:tr w:rsidR="004675FB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 Коэффициент значимости показателя уровня надежности оказываемых услуг, бета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сетью:</w:t>
            </w:r>
          </w:p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бета = 0,25</w:t>
            </w:r>
          </w:p>
        </w:tc>
      </w:tr>
      <w:tr w:rsidR="004675FB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 Коэффициент значимости показателя уровня надежности оказываемых услуг, бета</w:t>
            </w:r>
            <w:proofErr w:type="gramStart"/>
            <w:r>
              <w:rPr>
                <w:rFonts w:cs="Calibri"/>
              </w:rPr>
              <w:t>1</w:t>
            </w:r>
            <w:proofErr w:type="gramEnd"/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территориальной сетевой организации бета</w:t>
            </w:r>
            <w:proofErr w:type="gramStart"/>
            <w:r>
              <w:rPr>
                <w:rFonts w:cs="Calibri"/>
              </w:rPr>
              <w:t>1</w:t>
            </w:r>
            <w:proofErr w:type="gramEnd"/>
            <w:r>
              <w:rPr>
                <w:rFonts w:cs="Calibri"/>
              </w:rPr>
              <w:t xml:space="preserve"> = 0,25</w:t>
            </w:r>
          </w:p>
        </w:tc>
      </w:tr>
      <w:tr w:rsidR="004675FB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4. Коэффициент значимости показателя уровня надежности оказываемых услуг, бета</w:t>
            </w:r>
            <w:proofErr w:type="gramStart"/>
            <w:r>
              <w:rPr>
                <w:rFonts w:cs="Calibri"/>
              </w:rPr>
              <w:t>2</w:t>
            </w:r>
            <w:proofErr w:type="gramEnd"/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4675F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территориальной сетевой организации бета</w:t>
            </w:r>
            <w:proofErr w:type="gramStart"/>
            <w:r>
              <w:rPr>
                <w:rFonts w:cs="Calibri"/>
              </w:rPr>
              <w:t>2</w:t>
            </w:r>
            <w:proofErr w:type="gramEnd"/>
            <w:r>
              <w:rPr>
                <w:rFonts w:cs="Calibri"/>
              </w:rPr>
              <w:t xml:space="preserve"> = 0,1</w:t>
            </w:r>
          </w:p>
        </w:tc>
      </w:tr>
      <w:tr w:rsidR="004675FB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5.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2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4675FB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6.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2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                    0</w:t>
            </w:r>
          </w:p>
        </w:tc>
      </w:tr>
      <w:tr w:rsidR="004675FB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7. Оценка </w:t>
            </w:r>
            <w:proofErr w:type="gramStart"/>
            <w:r>
              <w:rPr>
                <w:rFonts w:cs="Calibri"/>
              </w:rPr>
              <w:t xml:space="preserve">достижения показателя </w:t>
            </w:r>
            <w:r>
              <w:rPr>
                <w:rFonts w:cs="Calibri"/>
              </w:rPr>
              <w:lastRenderedPageBreak/>
              <w:t>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2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Для территориальной сетевой </w:t>
            </w:r>
            <w:r>
              <w:rPr>
                <w:rFonts w:cs="Calibri"/>
              </w:rPr>
              <w:lastRenderedPageBreak/>
              <w:t>организации       0</w:t>
            </w:r>
          </w:p>
        </w:tc>
      </w:tr>
      <w:tr w:rsidR="004675FB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lastRenderedPageBreak/>
              <w:t xml:space="preserve">8.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2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территориальной сетевой организации      0</w:t>
            </w:r>
          </w:p>
        </w:tc>
      </w:tr>
      <w:tr w:rsidR="004675FB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9. Обобщенный показатель уровня надежности и качества оказываемых услуг,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57175" cy="228600"/>
                  <wp:effectExtent l="0" t="0" r="0" b="0"/>
                  <wp:docPr id="3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>
                <w:rPr>
                  <w:rStyle w:val="-"/>
                </w:rPr>
                <w:t>пп</w:t>
              </w:r>
              <w:proofErr w:type="spellEnd"/>
              <w:r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4675FB" w:rsidRDefault="00FD1979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              0</w:t>
            </w:r>
          </w:p>
        </w:tc>
      </w:tr>
    </w:tbl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Default="004675FB">
      <w:pPr>
        <w:pStyle w:val="a3"/>
        <w:widowControl w:val="0"/>
        <w:spacing w:after="0" w:line="100" w:lineRule="atLeast"/>
        <w:ind w:firstLine="540"/>
        <w:jc w:val="both"/>
      </w:pPr>
    </w:p>
    <w:p w:rsidR="004675FB" w:rsidRPr="00354148" w:rsidRDefault="00FD1979">
      <w:pPr>
        <w:pStyle w:val="ConsPlusNonformat"/>
        <w:rPr>
          <w:u w:val="single"/>
        </w:rPr>
      </w:pPr>
      <w:r>
        <w:rPr>
          <w:u w:val="single"/>
        </w:rPr>
        <w:t>____</w:t>
      </w:r>
      <w:r w:rsidR="00354148">
        <w:rPr>
          <w:u w:val="single"/>
        </w:rPr>
        <w:t>Главный энергетик</w:t>
      </w:r>
      <w:r w:rsidR="00354148">
        <w:t xml:space="preserve">              </w:t>
      </w:r>
      <w:r w:rsidR="00354148">
        <w:rPr>
          <w:u w:val="single"/>
        </w:rPr>
        <w:t xml:space="preserve">Борисов О.В. </w:t>
      </w:r>
    </w:p>
    <w:p w:rsidR="004675FB" w:rsidRDefault="00FD1979">
      <w:pPr>
        <w:pStyle w:val="ConsPlusNonformat"/>
      </w:pPr>
      <w:r>
        <w:rPr>
          <w:rFonts w:eastAsia="Courier New"/>
        </w:rPr>
        <w:t xml:space="preserve">        </w:t>
      </w:r>
      <w:r>
        <w:t xml:space="preserve">Должность       </w:t>
      </w:r>
      <w:r w:rsidR="00354148">
        <w:t xml:space="preserve">             </w:t>
      </w:r>
      <w:r>
        <w:t xml:space="preserve"> Ф.И.О.                 </w:t>
      </w:r>
      <w:r w:rsidR="00354148">
        <w:t xml:space="preserve"> </w:t>
      </w:r>
      <w:bookmarkStart w:id="23" w:name="_GoBack"/>
      <w:bookmarkEnd w:id="23"/>
      <w:r>
        <w:t xml:space="preserve"> Подпись</w:t>
      </w:r>
    </w:p>
    <w:p w:rsidR="004675FB" w:rsidRDefault="004675FB">
      <w:pPr>
        <w:pStyle w:val="ConsPlusNonformat"/>
      </w:pPr>
    </w:p>
    <w:p w:rsidR="004675FB" w:rsidRDefault="004675FB">
      <w:pPr>
        <w:pStyle w:val="ConsPlusNonformat"/>
      </w:pPr>
    </w:p>
    <w:p w:rsidR="004675FB" w:rsidRDefault="004675FB">
      <w:pPr>
        <w:pStyle w:val="a3"/>
      </w:pPr>
    </w:p>
    <w:sectPr w:rsidR="004675FB">
      <w:pgSz w:w="11906" w:h="16838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5FB"/>
    <w:rsid w:val="00354148"/>
    <w:rsid w:val="004675FB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Calibri" w:hAnsi="Calibri" w:cs="Times New Roman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Текст выноски Знак"/>
    <w:basedOn w:val="a0"/>
    <w:rPr>
      <w:rFonts w:ascii="Tahoma" w:eastAsia="Calibri" w:hAnsi="Tahoma" w:cs="Tahoma"/>
      <w:sz w:val="16"/>
      <w:szCs w:val="16"/>
      <w:lang w:eastAsia="zh-CN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Кукушкина Инна Сергеевна</dc:creator>
  <cp:lastModifiedBy>Кукушкина Инна Сергеевна</cp:lastModifiedBy>
  <cp:revision>5</cp:revision>
  <cp:lastPrinted>2020-03-27T11:41:00Z</cp:lastPrinted>
  <dcterms:created xsi:type="dcterms:W3CDTF">2019-03-07T05:04:00Z</dcterms:created>
  <dcterms:modified xsi:type="dcterms:W3CDTF">2020-03-27T11:41:00Z</dcterms:modified>
</cp:coreProperties>
</file>